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1FC2" w14:textId="77777777" w:rsidR="00251532" w:rsidRDefault="00176E41">
      <w:pPr>
        <w:pStyle w:val="afb"/>
      </w:pPr>
      <w:r>
        <w:t>Supplementary material</w:t>
      </w:r>
    </w:p>
    <w:p w14:paraId="60C2E54A" w14:textId="77777777" w:rsidR="00251532" w:rsidRDefault="00251532">
      <w:pPr>
        <w:ind w:firstLine="420"/>
        <w:rPr>
          <w:rFonts w:eastAsiaTheme="minorEastAsia"/>
        </w:rPr>
      </w:pPr>
    </w:p>
    <w:p w14:paraId="3882FD04" w14:textId="77777777" w:rsidR="00251532" w:rsidRDefault="00176E41">
      <w:pPr>
        <w:pStyle w:val="af1"/>
        <w:rPr>
          <w:rFonts w:eastAsiaTheme="minorEastAsia"/>
        </w:rPr>
      </w:pPr>
      <w:r>
        <w:rPr>
          <w:rFonts w:eastAsiaTheme="minorEastAsia"/>
        </w:rPr>
        <w:t>Supplementary Table 1. Basic epidemiologic, clinical, surgical and pathological data.</w:t>
      </w:r>
    </w:p>
    <w:tbl>
      <w:tblPr>
        <w:tblStyle w:val="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2867"/>
        <w:gridCol w:w="3052"/>
      </w:tblGrid>
      <w:tr w:rsidR="00251532" w14:paraId="7DB40DB1" w14:textId="77777777" w:rsidTr="00251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gridSpan w:val="2"/>
            <w:vAlign w:val="center"/>
          </w:tcPr>
          <w:p w14:paraId="5500AAB6" w14:textId="77777777" w:rsidR="00251532" w:rsidRDefault="00176E41">
            <w:pPr>
              <w:ind w:firstLineChars="0" w:firstLine="0"/>
              <w:jc w:val="left"/>
              <w:rPr>
                <w:kern w:val="0"/>
              </w:rPr>
            </w:pPr>
            <w:r>
              <w:rPr>
                <w:b w:val="0"/>
                <w:bCs w:val="0"/>
                <w:kern w:val="0"/>
              </w:rPr>
              <w:t>Variable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5A1DD50" w14:textId="77777777" w:rsidR="00251532" w:rsidRDefault="00176E4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b w:val="0"/>
                <w:bCs w:val="0"/>
                <w:kern w:val="0"/>
              </w:rPr>
              <w:t>Value</w:t>
            </w:r>
          </w:p>
        </w:tc>
      </w:tr>
      <w:tr w:rsidR="00251532" w14:paraId="019611CA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gridSpan w:val="2"/>
            <w:vAlign w:val="center"/>
          </w:tcPr>
          <w:p w14:paraId="7F7E3203" w14:textId="699AEE35" w:rsidR="00251532" w:rsidRDefault="00176E41">
            <w:pPr>
              <w:ind w:firstLineChars="0" w:firstLine="0"/>
              <w:jc w:val="left"/>
              <w:rPr>
                <w:kern w:val="0"/>
              </w:rPr>
            </w:pPr>
            <w:r>
              <w:rPr>
                <w:b w:val="0"/>
                <w:bCs w:val="0"/>
                <w:kern w:val="0"/>
              </w:rPr>
              <w:t>Age mean +/− S</w:t>
            </w:r>
            <w:r w:rsidR="00CE6CA2">
              <w:rPr>
                <w:b w:val="0"/>
                <w:bCs w:val="0"/>
                <w:kern w:val="0"/>
              </w:rPr>
              <w:t>tandard deviation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751A0E4" w14:textId="16B645A8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  <w:lang w:bidi="ar-EG"/>
              </w:rPr>
              <w:t>55.9 +</w:t>
            </w:r>
            <w:r>
              <w:rPr>
                <w:kern w:val="0"/>
              </w:rPr>
              <w:t>/</w:t>
            </w:r>
            <w:r>
              <w:rPr>
                <w:b/>
                <w:bCs/>
                <w:kern w:val="0"/>
              </w:rPr>
              <w:t>−</w:t>
            </w:r>
            <w:r>
              <w:rPr>
                <w:kern w:val="0"/>
                <w:lang w:bidi="ar-EG"/>
              </w:rPr>
              <w:t xml:space="preserve"> 9.5 </w:t>
            </w:r>
            <w:proofErr w:type="spellStart"/>
            <w:r>
              <w:rPr>
                <w:kern w:val="0"/>
                <w:lang w:bidi="ar-EG"/>
              </w:rPr>
              <w:t>yr</w:t>
            </w:r>
            <w:proofErr w:type="spellEnd"/>
          </w:p>
        </w:tc>
      </w:tr>
      <w:tr w:rsidR="00251532" w14:paraId="2893A375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gridSpan w:val="2"/>
            <w:vAlign w:val="center"/>
          </w:tcPr>
          <w:p w14:paraId="75352661" w14:textId="77777777" w:rsidR="00251532" w:rsidRDefault="00176E41">
            <w:pPr>
              <w:ind w:firstLineChars="0" w:firstLine="0"/>
              <w:jc w:val="left"/>
              <w:rPr>
                <w:kern w:val="0"/>
              </w:rPr>
            </w:pPr>
            <w:r>
              <w:rPr>
                <w:b w:val="0"/>
                <w:bCs w:val="0"/>
                <w:kern w:val="0"/>
              </w:rPr>
              <w:t>BMI median (range)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30E59B1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vertAlign w:val="superscript"/>
              </w:rPr>
            </w:pPr>
            <w:r>
              <w:rPr>
                <w:kern w:val="0"/>
                <w:lang w:bidi="ar-EG"/>
              </w:rPr>
              <w:t>33 (16–62) kg/m</w:t>
            </w:r>
            <w:r>
              <w:rPr>
                <w:kern w:val="0"/>
                <w:vertAlign w:val="superscript"/>
                <w:lang w:bidi="ar-EG"/>
              </w:rPr>
              <w:t>2</w:t>
            </w:r>
          </w:p>
        </w:tc>
      </w:tr>
      <w:tr w:rsidR="00251532" w14:paraId="2FE21E17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336474D0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Menopausal status</w:t>
            </w:r>
          </w:p>
        </w:tc>
      </w:tr>
      <w:tr w:rsidR="00251532" w14:paraId="367DB21E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78ECDCE4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7145204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019B1B94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bidi="ar-EG"/>
              </w:rPr>
            </w:pPr>
            <w:r>
              <w:rPr>
                <w:kern w:val="0"/>
              </w:rPr>
              <w:t>48</w:t>
            </w:r>
          </w:p>
        </w:tc>
      </w:tr>
      <w:tr w:rsidR="00251532" w14:paraId="54C7258C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6C9066C3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78E5F572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7A02B42D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159</w:t>
            </w:r>
          </w:p>
        </w:tc>
      </w:tr>
      <w:tr w:rsidR="00251532" w14:paraId="5CB08877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07C2F152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Adnexal mass (radiology)</w:t>
            </w:r>
          </w:p>
        </w:tc>
      </w:tr>
      <w:tr w:rsidR="00251532" w14:paraId="23CC279E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2C78AA6A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5EFC3479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0C75F1DB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23</w:t>
            </w:r>
          </w:p>
        </w:tc>
      </w:tr>
      <w:tr w:rsidR="00251532" w14:paraId="48909482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0AACDC4E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206AC72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Right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5124292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27</w:t>
            </w:r>
          </w:p>
        </w:tc>
      </w:tr>
      <w:tr w:rsidR="00251532" w14:paraId="0D252305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386E12C0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496F5678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Left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F550EC9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37</w:t>
            </w:r>
          </w:p>
        </w:tc>
      </w:tr>
      <w:tr w:rsidR="00251532" w14:paraId="24405206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23ACB8E5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3149CF3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Bilateral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0D55C3C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118</w:t>
            </w:r>
          </w:p>
        </w:tc>
      </w:tr>
      <w:tr w:rsidR="00251532" w14:paraId="53A5B8A0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4BD55EE1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Uterine infiltration</w:t>
            </w:r>
          </w:p>
        </w:tc>
      </w:tr>
      <w:tr w:rsidR="00251532" w14:paraId="604170DC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3809EBF0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519EA936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ECE6D3C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144</w:t>
            </w:r>
          </w:p>
        </w:tc>
      </w:tr>
      <w:tr w:rsidR="00251532" w14:paraId="6056B803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5FB6E9A1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CDB0CB8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44D30D2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41</w:t>
            </w:r>
          </w:p>
        </w:tc>
      </w:tr>
      <w:tr w:rsidR="00251532" w14:paraId="34302791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2A70606E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Peritoneal deposits (radiologic)</w:t>
            </w:r>
          </w:p>
        </w:tc>
      </w:tr>
      <w:tr w:rsidR="00251532" w14:paraId="22AA0780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6DA1C7B9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605CF4F3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92DF201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60</w:t>
            </w:r>
          </w:p>
        </w:tc>
      </w:tr>
      <w:tr w:rsidR="00251532" w14:paraId="5873C73B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0101D55C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4F7D8305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7D31905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147</w:t>
            </w:r>
          </w:p>
        </w:tc>
      </w:tr>
      <w:tr w:rsidR="00251532" w14:paraId="779866BA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262514B7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Omental deposits</w:t>
            </w:r>
          </w:p>
        </w:tc>
      </w:tr>
      <w:tr w:rsidR="00251532" w14:paraId="74EC58D7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327298D0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0A227BE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7DB58D9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35</w:t>
            </w:r>
          </w:p>
        </w:tc>
      </w:tr>
      <w:tr w:rsidR="00251532" w14:paraId="3D09BF56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1DB6905F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7F21A776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0321985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172</w:t>
            </w:r>
          </w:p>
        </w:tc>
      </w:tr>
      <w:tr w:rsidR="00251532" w14:paraId="07D66147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6B1460E7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Ascites</w:t>
            </w:r>
          </w:p>
        </w:tc>
      </w:tr>
      <w:tr w:rsidR="00251532" w14:paraId="3BBFF56E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7D287532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70A3133D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B25FF4D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20</w:t>
            </w:r>
          </w:p>
        </w:tc>
      </w:tr>
      <w:tr w:rsidR="00251532" w14:paraId="31719B48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6C53F4A6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02DB0E84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Minimal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8C8910E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8</w:t>
            </w:r>
          </w:p>
        </w:tc>
      </w:tr>
      <w:tr w:rsidR="00251532" w14:paraId="2B0ECA6C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2A6DF55B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2D6D619E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Mild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846B15B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42</w:t>
            </w:r>
          </w:p>
        </w:tc>
      </w:tr>
      <w:tr w:rsidR="00251532" w14:paraId="16F5489B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26EEE5F5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48F9B6D6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Moderate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EE80ADB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86</w:t>
            </w:r>
          </w:p>
        </w:tc>
      </w:tr>
      <w:tr w:rsidR="00251532" w14:paraId="3945F8E9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22F20FFD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0FF63AE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Severe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405B037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51</w:t>
            </w:r>
          </w:p>
        </w:tc>
      </w:tr>
      <w:tr w:rsidR="00251532" w14:paraId="081EF7D6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205C185A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Distant visceral metastasis</w:t>
            </w:r>
          </w:p>
        </w:tc>
      </w:tr>
      <w:tr w:rsidR="00251532" w14:paraId="7904AC40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63084A08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2D14C8D1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168B56C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173</w:t>
            </w:r>
          </w:p>
        </w:tc>
      </w:tr>
      <w:tr w:rsidR="00251532" w14:paraId="5AEC13CE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1BD0DFD2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646B1A59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4FD0D17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34</w:t>
            </w:r>
          </w:p>
        </w:tc>
      </w:tr>
      <w:tr w:rsidR="00251532" w14:paraId="0380C6B4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28F96ABE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Pathology type</w:t>
            </w:r>
          </w:p>
        </w:tc>
      </w:tr>
      <w:tr w:rsidR="00251532" w14:paraId="6F6EE189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13D9E2AB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6134ED27" w14:textId="01B7FA52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Serous</w:t>
            </w:r>
            <w:r w:rsidR="00CE6CA2">
              <w:rPr>
                <w:kern w:val="0"/>
              </w:rPr>
              <w:t xml:space="preserve"> carcinoma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67AC89C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196</w:t>
            </w:r>
          </w:p>
        </w:tc>
      </w:tr>
      <w:tr w:rsidR="00251532" w14:paraId="3B25EA1B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38E0F1A9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089EB9C5" w14:textId="62B592D0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Mucinous</w:t>
            </w:r>
            <w:r w:rsidR="00CE6CA2">
              <w:rPr>
                <w:kern w:val="0"/>
              </w:rPr>
              <w:t xml:space="preserve"> carcinoma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C4982A6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</w:t>
            </w:r>
          </w:p>
        </w:tc>
      </w:tr>
      <w:tr w:rsidR="00251532" w14:paraId="2BD1A91A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295AE1EE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D290F40" w14:textId="635B520B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Clear</w:t>
            </w:r>
            <w:r w:rsidR="00CE6CA2">
              <w:rPr>
                <w:kern w:val="0"/>
              </w:rPr>
              <w:t xml:space="preserve"> cell carcinoma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B3ADA33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</w:t>
            </w:r>
          </w:p>
        </w:tc>
      </w:tr>
      <w:tr w:rsidR="00251532" w14:paraId="09BDAE3B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1E801BE1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D8E730D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Other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0326E48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7</w:t>
            </w:r>
          </w:p>
        </w:tc>
      </w:tr>
      <w:tr w:rsidR="00251532" w14:paraId="75549A36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402F6579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Grade</w:t>
            </w:r>
          </w:p>
        </w:tc>
      </w:tr>
      <w:tr w:rsidR="00251532" w14:paraId="0273749F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57786CA1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198E6A7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Low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1D5643E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4</w:t>
            </w:r>
          </w:p>
        </w:tc>
      </w:tr>
      <w:tr w:rsidR="00251532" w14:paraId="2D7E2BDB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1DB668A6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02DA0C55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High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1D402DA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202</w:t>
            </w:r>
          </w:p>
        </w:tc>
      </w:tr>
      <w:tr w:rsidR="00251532" w14:paraId="382349B9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67621096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lastRenderedPageBreak/>
              <w:t>Indication of neoadjuvant</w:t>
            </w:r>
          </w:p>
        </w:tc>
      </w:tr>
      <w:tr w:rsidR="00251532" w14:paraId="03FE5DEB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3E73D96B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D26D9F9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Irresectable disease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684E97F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116</w:t>
            </w:r>
          </w:p>
        </w:tc>
      </w:tr>
      <w:tr w:rsidR="00251532" w14:paraId="427452FC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363708F6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737F6846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Visceral metastasis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79D02DA7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27</w:t>
            </w:r>
          </w:p>
        </w:tc>
      </w:tr>
      <w:tr w:rsidR="00251532" w14:paraId="63D49773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066E914F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5778B5BB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Pleural effusion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CE0B6E0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29</w:t>
            </w:r>
          </w:p>
        </w:tc>
      </w:tr>
      <w:tr w:rsidR="00251532" w14:paraId="499B1B94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76E5ED88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05F5C53D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Advanced stage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09C5CA6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4</w:t>
            </w:r>
          </w:p>
        </w:tc>
      </w:tr>
      <w:tr w:rsidR="00251532" w14:paraId="3D23D77D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5544E5C9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71C43777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Marked ascites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0F90B2B1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</w:t>
            </w:r>
          </w:p>
        </w:tc>
      </w:tr>
      <w:tr w:rsidR="00251532" w14:paraId="1CB2CFF1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051BF619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0DC6F018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Non-regional nodes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3F58317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16</w:t>
            </w:r>
          </w:p>
        </w:tc>
      </w:tr>
      <w:tr w:rsidR="00251532" w14:paraId="58712298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13DBC124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72D44C9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Other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4E1A0CFD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14</w:t>
            </w:r>
          </w:p>
        </w:tc>
      </w:tr>
      <w:tr w:rsidR="00251532" w14:paraId="2F22556F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10D3F9C9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Neoadjuvant chemotherapy regimen</w:t>
            </w:r>
          </w:p>
        </w:tc>
      </w:tr>
      <w:tr w:rsidR="00251532" w14:paraId="420C4B5A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5E4152FC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0055ED29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proofErr w:type="spellStart"/>
            <w:r>
              <w:rPr>
                <w:kern w:val="0"/>
              </w:rPr>
              <w:t>Taxane</w:t>
            </w:r>
            <w:proofErr w:type="spellEnd"/>
            <w:r>
              <w:rPr>
                <w:kern w:val="0"/>
              </w:rPr>
              <w:t>/Carboplatin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7B77E800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198</w:t>
            </w:r>
          </w:p>
        </w:tc>
      </w:tr>
      <w:tr w:rsidR="00251532" w14:paraId="052EFE6E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6D6B7B69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C5B9F01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Carboplatin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1EFBCE9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4</w:t>
            </w:r>
          </w:p>
        </w:tc>
      </w:tr>
      <w:tr w:rsidR="00251532" w14:paraId="481AEF3C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41545F1E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2C557279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Others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783D8A4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5</w:t>
            </w:r>
          </w:p>
        </w:tc>
      </w:tr>
      <w:tr w:rsidR="00251532" w14:paraId="39523AD1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400FCDAD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Radiologic response to neoadjuvant</w:t>
            </w:r>
          </w:p>
        </w:tc>
      </w:tr>
      <w:tr w:rsidR="00251532" w14:paraId="02FB691A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5992A3B1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3906727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CR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5D1F6F2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15</w:t>
            </w:r>
          </w:p>
        </w:tc>
      </w:tr>
      <w:tr w:rsidR="00251532" w14:paraId="66E5B8E8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0507A705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26A029F1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PR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975CA7B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172</w:t>
            </w:r>
          </w:p>
        </w:tc>
      </w:tr>
      <w:tr w:rsidR="00251532" w14:paraId="1C29EA91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20C45023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59968424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PD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7E584A5E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9</w:t>
            </w:r>
          </w:p>
        </w:tc>
      </w:tr>
      <w:tr w:rsidR="00251532" w14:paraId="32E5464D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73CC0291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04CE09AE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 w:rsidRPr="00BE2DEE">
              <w:rPr>
                <w:kern w:val="0"/>
              </w:rPr>
              <w:t>SD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365340AF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11</w:t>
            </w:r>
          </w:p>
        </w:tc>
      </w:tr>
      <w:tr w:rsidR="00251532" w14:paraId="07A28D54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6B78780D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Surgery</w:t>
            </w:r>
          </w:p>
        </w:tc>
      </w:tr>
      <w:tr w:rsidR="00251532" w14:paraId="744FF808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681DAC95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21108D4E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Optimal debulking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309A6C8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145</w:t>
            </w:r>
          </w:p>
        </w:tc>
      </w:tr>
      <w:tr w:rsidR="00251532" w14:paraId="643C26C3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2D5C44D5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625433E4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Suboptimal debulking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357A405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55</w:t>
            </w:r>
          </w:p>
        </w:tc>
      </w:tr>
      <w:tr w:rsidR="00251532" w14:paraId="742B00BC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15FFF93F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7C69D4A9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Exploration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0B45145E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7</w:t>
            </w:r>
          </w:p>
        </w:tc>
      </w:tr>
      <w:tr w:rsidR="00251532" w14:paraId="6AF70C14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65AAF7F3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Approach</w:t>
            </w:r>
          </w:p>
        </w:tc>
      </w:tr>
      <w:tr w:rsidR="00251532" w14:paraId="2898F706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48058E24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6171BE9F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Laparotomy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3AAC01D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189</w:t>
            </w:r>
          </w:p>
        </w:tc>
      </w:tr>
      <w:tr w:rsidR="00251532" w14:paraId="3CF10292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3D231975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41495C97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Laparoscopy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E89F10A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18</w:t>
            </w:r>
          </w:p>
        </w:tc>
      </w:tr>
      <w:tr w:rsidR="00251532" w14:paraId="18986944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158E8BDD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LN surgery</w:t>
            </w:r>
          </w:p>
        </w:tc>
      </w:tr>
      <w:tr w:rsidR="00251532" w14:paraId="3EFDFF0A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6DC08F8B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6A9ABFB0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</w:tcPr>
          <w:p w14:paraId="4DB8A0CF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rFonts w:asciiTheme="majorBidi" w:hAnsiTheme="majorBidi" w:cstheme="majorBidi"/>
                <w:kern w:val="0"/>
              </w:rPr>
              <w:t>105</w:t>
            </w:r>
          </w:p>
        </w:tc>
      </w:tr>
      <w:tr w:rsidR="00251532" w14:paraId="38751AAD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7FC75123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0E0193C9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3052" w:type="dxa"/>
            <w:shd w:val="clear" w:color="auto" w:fill="auto"/>
          </w:tcPr>
          <w:p w14:paraId="5FAAD9DF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rFonts w:asciiTheme="majorBidi" w:hAnsiTheme="majorBidi" w:cstheme="majorBidi"/>
                <w:kern w:val="0"/>
              </w:rPr>
              <w:t>102</w:t>
            </w:r>
          </w:p>
        </w:tc>
      </w:tr>
      <w:tr w:rsidR="00251532" w14:paraId="434715FD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507212C6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Pathologic response</w:t>
            </w:r>
          </w:p>
        </w:tc>
      </w:tr>
      <w:tr w:rsidR="00251532" w14:paraId="1AA1055E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5F1AB33A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26136CC7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240CA62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8</w:t>
            </w:r>
          </w:p>
        </w:tc>
      </w:tr>
      <w:tr w:rsidR="00251532" w14:paraId="11FFFC34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13E44616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7DC9FC2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Partial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5E9B636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180</w:t>
            </w:r>
          </w:p>
        </w:tc>
      </w:tr>
      <w:tr w:rsidR="00251532" w14:paraId="5AF52D59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316EF239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67E60BC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Complete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C47D64E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12</w:t>
            </w:r>
          </w:p>
        </w:tc>
      </w:tr>
      <w:tr w:rsidR="00251532" w14:paraId="4FB7F59B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75260C6F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Adjuvant chemo</w:t>
            </w:r>
          </w:p>
        </w:tc>
      </w:tr>
      <w:tr w:rsidR="00251532" w14:paraId="6A6B0E75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646CEF98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75640AB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2FBA162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26</w:t>
            </w:r>
          </w:p>
        </w:tc>
      </w:tr>
      <w:tr w:rsidR="00251532" w14:paraId="54E929B3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5C33E354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9B9A3E4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4C7ED59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181</w:t>
            </w:r>
          </w:p>
        </w:tc>
      </w:tr>
      <w:tr w:rsidR="00251532" w14:paraId="427D1846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7CA0DE4D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Relapse/progression</w:t>
            </w:r>
          </w:p>
        </w:tc>
      </w:tr>
      <w:tr w:rsidR="00251532" w14:paraId="62A4A96B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4C6F09DF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50AEC883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C4F20A8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64</w:t>
            </w:r>
          </w:p>
        </w:tc>
      </w:tr>
      <w:tr w:rsidR="00251532" w14:paraId="4AF00E63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0CCD6309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5F6744C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7DFACAC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140</w:t>
            </w:r>
          </w:p>
        </w:tc>
      </w:tr>
      <w:tr w:rsidR="00251532" w14:paraId="2E11105D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05AF3857" w14:textId="77777777" w:rsidR="00251532" w:rsidRDefault="00176E41">
            <w:pPr>
              <w:ind w:firstLineChars="0" w:firstLine="0"/>
              <w:jc w:val="left"/>
              <w:rPr>
                <w:kern w:val="0"/>
              </w:rPr>
            </w:pPr>
            <w:r>
              <w:rPr>
                <w:b w:val="0"/>
                <w:bCs w:val="0"/>
                <w:kern w:val="0"/>
              </w:rPr>
              <w:t>Relapse/progression platinum sensitivity</w:t>
            </w:r>
          </w:p>
        </w:tc>
      </w:tr>
      <w:tr w:rsidR="00251532" w14:paraId="792633AD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777D51AA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6DD9B63C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Sensitive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54310F56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100</w:t>
            </w:r>
          </w:p>
        </w:tc>
      </w:tr>
      <w:tr w:rsidR="00251532" w14:paraId="13127155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71DAADFA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637830B6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Resistant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14F195F4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26</w:t>
            </w:r>
          </w:p>
        </w:tc>
      </w:tr>
      <w:tr w:rsidR="00251532" w14:paraId="3460A0EF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63D0E3FE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14C738B3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Refractory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1B4E923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14</w:t>
            </w:r>
          </w:p>
        </w:tc>
      </w:tr>
      <w:tr w:rsidR="00251532" w14:paraId="47C3415A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3"/>
            <w:vAlign w:val="center"/>
          </w:tcPr>
          <w:p w14:paraId="79DA5386" w14:textId="77777777" w:rsidR="00251532" w:rsidRDefault="00176E41">
            <w:pPr>
              <w:ind w:firstLineChars="0" w:firstLine="0"/>
              <w:jc w:val="left"/>
              <w:rPr>
                <w:rFonts w:eastAsiaTheme="minorEastAsia"/>
                <w:kern w:val="0"/>
              </w:rPr>
            </w:pPr>
            <w:r>
              <w:rPr>
                <w:b w:val="0"/>
                <w:bCs w:val="0"/>
                <w:kern w:val="0"/>
              </w:rPr>
              <w:t>Site of relapse/progression</w:t>
            </w:r>
          </w:p>
        </w:tc>
      </w:tr>
      <w:tr w:rsidR="00251532" w14:paraId="7FD8CA9F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 w:val="restart"/>
            <w:vAlign w:val="center"/>
          </w:tcPr>
          <w:p w14:paraId="076B8BAE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76E742F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Locoregional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236BF668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61</w:t>
            </w:r>
          </w:p>
        </w:tc>
      </w:tr>
      <w:tr w:rsidR="00251532" w14:paraId="62583A66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260C957E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5CEC386B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Distant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6D3D43A0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39</w:t>
            </w:r>
          </w:p>
        </w:tc>
      </w:tr>
      <w:tr w:rsidR="00251532" w14:paraId="189AD590" w14:textId="77777777" w:rsidTr="0025153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Merge/>
            <w:vAlign w:val="center"/>
          </w:tcPr>
          <w:p w14:paraId="7E6C5A6E" w14:textId="77777777" w:rsidR="00251532" w:rsidRDefault="00251532">
            <w:pPr>
              <w:ind w:firstLineChars="0" w:firstLine="0"/>
              <w:jc w:val="left"/>
              <w:rPr>
                <w:b w:val="0"/>
                <w:bCs w:val="0"/>
                <w:kern w:val="0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14:paraId="3454B28B" w14:textId="77777777" w:rsidR="00251532" w:rsidRDefault="00176E41">
            <w:pPr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Both</w:t>
            </w:r>
          </w:p>
        </w:tc>
        <w:tc>
          <w:tcPr>
            <w:tcW w:w="3052" w:type="dxa"/>
            <w:shd w:val="clear" w:color="auto" w:fill="auto"/>
            <w:vAlign w:val="center"/>
          </w:tcPr>
          <w:p w14:paraId="04F726DE" w14:textId="77777777" w:rsidR="00251532" w:rsidRDefault="00176E4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</w:rPr>
            </w:pPr>
            <w:r>
              <w:rPr>
                <w:kern w:val="0"/>
              </w:rPr>
              <w:t>40</w:t>
            </w:r>
          </w:p>
        </w:tc>
      </w:tr>
    </w:tbl>
    <w:p w14:paraId="36CEC4C7" w14:textId="07E9BA4C" w:rsidR="00251532" w:rsidRDefault="00176E41">
      <w:pPr>
        <w:pStyle w:val="af2"/>
      </w:pPr>
      <w:r w:rsidRPr="00176E41">
        <w:t>BMI: Body mass index; CR</w:t>
      </w:r>
      <w:r w:rsidRPr="00176E41">
        <w:rPr>
          <w:rFonts w:eastAsiaTheme="minorEastAsia" w:hint="eastAsia"/>
        </w:rPr>
        <w:t>:</w:t>
      </w:r>
      <w:r w:rsidRPr="00176E41">
        <w:rPr>
          <w:rFonts w:eastAsiaTheme="minorEastAsia"/>
        </w:rPr>
        <w:t xml:space="preserve"> complete response; </w:t>
      </w:r>
      <w:r w:rsidRPr="00176E41">
        <w:t>PR: partial response; PD: progressive disease</w:t>
      </w:r>
      <w:r w:rsidR="00CE6CA2">
        <w:t>; SD: stationary disease</w:t>
      </w:r>
      <w:r w:rsidRPr="00176E41">
        <w:t>.</w:t>
      </w:r>
    </w:p>
    <w:sectPr w:rsidR="002515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476F0" w14:textId="77777777" w:rsidR="00A066F1" w:rsidRDefault="00A066F1">
      <w:pPr>
        <w:ind w:firstLine="420"/>
      </w:pPr>
      <w:r>
        <w:separator/>
      </w:r>
    </w:p>
  </w:endnote>
  <w:endnote w:type="continuationSeparator" w:id="0">
    <w:p w14:paraId="75A430F4" w14:textId="77777777" w:rsidR="00A066F1" w:rsidRDefault="00A066F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BDE9" w14:textId="77777777" w:rsidR="00251532" w:rsidRDefault="00251532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2874"/>
      <w:docPartObj>
        <w:docPartGallery w:val="AutoText"/>
      </w:docPartObj>
    </w:sdtPr>
    <w:sdtEndPr/>
    <w:sdtContent>
      <w:p w14:paraId="6DF1876C" w14:textId="77777777" w:rsidR="00251532" w:rsidRDefault="00176E41">
        <w:pPr>
          <w:pStyle w:val="a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AE77B11" w14:textId="77777777" w:rsidR="00251532" w:rsidRDefault="00251532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5638135"/>
      <w:docPartObj>
        <w:docPartGallery w:val="AutoText"/>
      </w:docPartObj>
    </w:sdtPr>
    <w:sdtEndPr/>
    <w:sdtContent>
      <w:p w14:paraId="6C409E52" w14:textId="77777777" w:rsidR="00251532" w:rsidRDefault="00176E41">
        <w:pPr>
          <w:pStyle w:val="a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CCC982" w14:textId="77777777" w:rsidR="00251532" w:rsidRDefault="00251532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5295D" w14:textId="77777777" w:rsidR="00A066F1" w:rsidRDefault="00A066F1">
      <w:pPr>
        <w:ind w:firstLine="420"/>
      </w:pPr>
      <w:r>
        <w:separator/>
      </w:r>
    </w:p>
  </w:footnote>
  <w:footnote w:type="continuationSeparator" w:id="0">
    <w:p w14:paraId="424A2313" w14:textId="77777777" w:rsidR="00A066F1" w:rsidRDefault="00A066F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C4DE2" w14:textId="77777777" w:rsidR="00251532" w:rsidRDefault="00251532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90479" w14:textId="77777777" w:rsidR="00251532" w:rsidRDefault="00251532">
    <w:pPr>
      <w:pStyle w:val="ac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8651" w14:textId="77777777" w:rsidR="00251532" w:rsidRDefault="00251532">
    <w:pPr>
      <w:pStyle w:val="ac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4D661A69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F85"/>
    <w:rsid w:val="00144928"/>
    <w:rsid w:val="00176E41"/>
    <w:rsid w:val="00251532"/>
    <w:rsid w:val="002D53AA"/>
    <w:rsid w:val="002E249C"/>
    <w:rsid w:val="003A1673"/>
    <w:rsid w:val="00441AE6"/>
    <w:rsid w:val="005D346C"/>
    <w:rsid w:val="005D536E"/>
    <w:rsid w:val="00604A4F"/>
    <w:rsid w:val="00686111"/>
    <w:rsid w:val="007140A2"/>
    <w:rsid w:val="007228AB"/>
    <w:rsid w:val="0076392E"/>
    <w:rsid w:val="007D1254"/>
    <w:rsid w:val="00822588"/>
    <w:rsid w:val="008674F6"/>
    <w:rsid w:val="00894413"/>
    <w:rsid w:val="00902F51"/>
    <w:rsid w:val="009D3276"/>
    <w:rsid w:val="00A066F1"/>
    <w:rsid w:val="00A17180"/>
    <w:rsid w:val="00A5093C"/>
    <w:rsid w:val="00AA176E"/>
    <w:rsid w:val="00AE543B"/>
    <w:rsid w:val="00B71B39"/>
    <w:rsid w:val="00BA4D69"/>
    <w:rsid w:val="00BA570C"/>
    <w:rsid w:val="00BC4A53"/>
    <w:rsid w:val="00BE2DEE"/>
    <w:rsid w:val="00C65CFE"/>
    <w:rsid w:val="00CE6CA2"/>
    <w:rsid w:val="00CF4E0D"/>
    <w:rsid w:val="00D45AB7"/>
    <w:rsid w:val="00E12815"/>
    <w:rsid w:val="00E56CEC"/>
    <w:rsid w:val="00EE6153"/>
    <w:rsid w:val="00F05709"/>
    <w:rsid w:val="00F23403"/>
    <w:rsid w:val="00F50F85"/>
    <w:rsid w:val="00F72F2B"/>
    <w:rsid w:val="00FA7819"/>
    <w:rsid w:val="1480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176E5"/>
  <w15:docId w15:val="{78BBAC37-973F-4A6E-9295-0911FA89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1"/>
    <w:qFormat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pPr>
      <w:autoSpaceDE w:val="0"/>
      <w:autoSpaceDN w:val="0"/>
      <w:adjustRightInd w:val="0"/>
      <w:ind w:firstLine="420"/>
    </w:pPr>
    <w:rPr>
      <w:kern w:val="0"/>
    </w:rPr>
  </w:style>
  <w:style w:type="character" w:styleId="a5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6">
    <w:name w:val="annotation text"/>
    <w:basedOn w:val="a"/>
    <w:link w:val="a7"/>
    <w:uiPriority w:val="99"/>
    <w:unhideWhenUsed/>
    <w:pPr>
      <w:jc w:val="left"/>
    </w:p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e">
    <w:name w:val="line number"/>
    <w:uiPriority w:val="99"/>
    <w:semiHidden/>
    <w:unhideWhenUsed/>
  </w:style>
  <w:style w:type="paragraph" w:styleId="af">
    <w:name w:val="Normal (Web)"/>
    <w:basedOn w:val="a"/>
    <w:uiPriority w:val="99"/>
    <w:unhideWhenUsed/>
    <w:pPr>
      <w:spacing w:before="100" w:beforeAutospacing="1" w:after="100" w:afterAutospacing="1"/>
    </w:pPr>
    <w:rPr>
      <w:lang w:eastAsia="en-US"/>
    </w:rPr>
  </w:style>
  <w:style w:type="table" w:styleId="af0">
    <w:name w:val="Table Grid"/>
    <w:basedOn w:val="a1"/>
    <w:uiPriority w:val="5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link w:val="2"/>
    <w:uiPriority w:val="9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link w:val="3"/>
    <w:uiPriority w:val="9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Pr>
      <w:rFonts w:ascii="等线 Light" w:eastAsia="等线 Light" w:hAnsi="等线 Light" w:cs="Times New Roman"/>
      <w:szCs w:val="21"/>
    </w:rPr>
  </w:style>
  <w:style w:type="paragraph" w:customStyle="1" w:styleId="af1">
    <w:name w:val="表题"/>
    <w:basedOn w:val="a"/>
    <w:autoRedefine/>
    <w:qFormat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f2">
    <w:name w:val="表注"/>
    <w:basedOn w:val="af1"/>
    <w:autoRedefine/>
    <w:qFormat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3">
    <w:name w:val="参考文献"/>
    <w:basedOn w:val="a"/>
    <w:autoRedefine/>
    <w:qFormat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4">
    <w:name w:val="稿件类型"/>
    <w:basedOn w:val="a"/>
    <w:autoRedefine/>
    <w:qFormat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5">
    <w:name w:val="关键词"/>
    <w:basedOn w:val="a"/>
    <w:autoRedefine/>
    <w:qFormat/>
    <w:pPr>
      <w:ind w:firstLineChars="0" w:firstLine="0"/>
    </w:pPr>
  </w:style>
  <w:style w:type="paragraph" w:customStyle="1" w:styleId="af6">
    <w:name w:val="机构信息"/>
    <w:basedOn w:val="a"/>
    <w:link w:val="af7"/>
    <w:autoRedefine/>
    <w:qFormat/>
    <w:pPr>
      <w:ind w:firstLineChars="0" w:firstLine="0"/>
    </w:pPr>
    <w:rPr>
      <w:i/>
    </w:rPr>
  </w:style>
  <w:style w:type="character" w:customStyle="1" w:styleId="af7">
    <w:name w:val="机构信息 字符"/>
    <w:link w:val="af6"/>
    <w:rPr>
      <w:rFonts w:ascii="Times New Roman" w:eastAsia="Times New Roman" w:hAnsi="Times New Roman" w:cs="Times New Roman"/>
      <w:i/>
      <w:szCs w:val="21"/>
    </w:rPr>
  </w:style>
  <w:style w:type="paragraph" w:customStyle="1" w:styleId="af8">
    <w:name w:val="接收日期"/>
    <w:basedOn w:val="a"/>
    <w:autoRedefine/>
    <w:qFormat/>
    <w:pPr>
      <w:ind w:firstLineChars="0" w:firstLine="0"/>
    </w:pPr>
  </w:style>
  <w:style w:type="paragraph" w:customStyle="1" w:styleId="af9">
    <w:name w:val="通讯作者"/>
    <w:basedOn w:val="a"/>
    <w:autoRedefine/>
    <w:qFormat/>
    <w:pPr>
      <w:ind w:firstLineChars="0" w:firstLine="0"/>
    </w:pPr>
  </w:style>
  <w:style w:type="paragraph" w:customStyle="1" w:styleId="afa">
    <w:name w:val="图注"/>
    <w:basedOn w:val="af2"/>
    <w:autoRedefine/>
    <w:qFormat/>
  </w:style>
  <w:style w:type="paragraph" w:customStyle="1" w:styleId="afb">
    <w:name w:val="文章标题"/>
    <w:basedOn w:val="a"/>
    <w:link w:val="afc"/>
    <w:autoRedefine/>
    <w:qFormat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c">
    <w:name w:val="文章标题 字符"/>
    <w:link w:val="afb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d">
    <w:name w:val="文章内容"/>
    <w:basedOn w:val="a"/>
    <w:link w:val="afe"/>
    <w:autoRedefine/>
    <w:pPr>
      <w:ind w:firstLine="420"/>
    </w:pPr>
    <w:rPr>
      <w:color w:val="000000"/>
    </w:rPr>
  </w:style>
  <w:style w:type="character" w:customStyle="1" w:styleId="afe">
    <w:name w:val="文章内容 字符"/>
    <w:link w:val="afd"/>
    <w:rPr>
      <w:rFonts w:ascii="Times New Roman" w:eastAsia="Times New Roman" w:hAnsi="Times New Roman" w:cs="Times New Roman"/>
      <w:color w:val="000000"/>
      <w:szCs w:val="21"/>
    </w:rPr>
  </w:style>
  <w:style w:type="character" w:customStyle="1" w:styleId="ab">
    <w:name w:val="页脚 字符"/>
    <w:link w:val="aa"/>
    <w:uiPriority w:val="99"/>
    <w:rPr>
      <w:rFonts w:ascii="Times New Roman" w:eastAsia="Times New Roman" w:hAnsi="Times New Roman" w:cs="Times New Roman"/>
      <w:sz w:val="18"/>
      <w:szCs w:val="18"/>
    </w:rPr>
  </w:style>
  <w:style w:type="character" w:customStyle="1" w:styleId="ad">
    <w:name w:val="页眉 字符"/>
    <w:link w:val="ac"/>
    <w:uiPriority w:val="99"/>
    <w:qFormat/>
    <w:rPr>
      <w:rFonts w:ascii="Times New Roman" w:eastAsia="Times New Roman" w:hAnsi="Times New Roman" w:cs="Times New Roman"/>
      <w:sz w:val="18"/>
      <w:szCs w:val="18"/>
    </w:rPr>
  </w:style>
  <w:style w:type="paragraph" w:customStyle="1" w:styleId="aff">
    <w:name w:val="摘要"/>
    <w:basedOn w:val="a"/>
    <w:autoRedefine/>
    <w:qFormat/>
    <w:pPr>
      <w:ind w:firstLineChars="0" w:firstLine="0"/>
    </w:pPr>
  </w:style>
  <w:style w:type="character" w:styleId="aff0">
    <w:name w:val="Placeholder Text"/>
    <w:uiPriority w:val="99"/>
    <w:semiHidden/>
    <w:rPr>
      <w:color w:val="808080"/>
    </w:rPr>
  </w:style>
  <w:style w:type="character" w:customStyle="1" w:styleId="a4">
    <w:name w:val="正文文本 字符"/>
    <w:link w:val="a3"/>
    <w:uiPriority w:val="1"/>
    <w:rPr>
      <w:rFonts w:ascii="Times New Roman" w:eastAsia="Times New Roman" w:hAnsi="Times New Roman" w:cs="Times New Roman"/>
      <w:kern w:val="0"/>
      <w:szCs w:val="21"/>
    </w:rPr>
  </w:style>
  <w:style w:type="paragraph" w:customStyle="1" w:styleId="aff1">
    <w:name w:val="致谢部分"/>
    <w:basedOn w:val="a3"/>
    <w:link w:val="aff2"/>
    <w:autoRedefine/>
    <w:qFormat/>
    <w:pPr>
      <w:ind w:firstLineChars="0" w:firstLine="0"/>
    </w:pPr>
    <w:rPr>
      <w:b/>
      <w:sz w:val="24"/>
      <w:szCs w:val="24"/>
    </w:rPr>
  </w:style>
  <w:style w:type="character" w:customStyle="1" w:styleId="aff2">
    <w:name w:val="致谢部分 字符"/>
    <w:link w:val="aff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3">
    <w:name w:val="作者信息"/>
    <w:basedOn w:val="a"/>
    <w:autoRedefine/>
    <w:qFormat/>
    <w:pPr>
      <w:ind w:firstLineChars="0" w:firstLine="0"/>
    </w:pPr>
  </w:style>
  <w:style w:type="table" w:customStyle="1" w:styleId="11">
    <w:name w:val="جدول عادي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7">
    <w:name w:val="批注文字 字符"/>
    <w:basedOn w:val="a0"/>
    <w:link w:val="a6"/>
    <w:uiPriority w:val="99"/>
    <w:rPr>
      <w:rFonts w:ascii="Times New Roman" w:eastAsia="Times New Roman" w:hAnsi="Times New Roman" w:cs="Times New Roman"/>
      <w:szCs w:val="21"/>
    </w:rPr>
  </w:style>
  <w:style w:type="character" w:customStyle="1" w:styleId="a9">
    <w:name w:val="批注主题 字符"/>
    <w:basedOn w:val="a7"/>
    <w:link w:val="a8"/>
    <w:uiPriority w:val="99"/>
    <w:semiHidden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Revision"/>
    <w:hidden/>
    <w:uiPriority w:val="99"/>
    <w:semiHidden/>
    <w:rsid w:val="00CE6CA2"/>
    <w:rPr>
      <w:rFonts w:ascii="Times New Roman" w:eastAsia="Times New Roman" w:hAnsi="Times New Roman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Kayla</cp:lastModifiedBy>
  <cp:revision>27</cp:revision>
  <dcterms:created xsi:type="dcterms:W3CDTF">2025-05-13T00:46:00Z</dcterms:created>
  <dcterms:modified xsi:type="dcterms:W3CDTF">2025-06-17T01:44:00Z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A0D52532C89F46189516D6D6EC829BEF_12</vt:lpwstr>
  </property>
</Properties>
</file>